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F553" w14:textId="7CFC7925" w:rsidR="00D32CA3" w:rsidRPr="00184C24" w:rsidRDefault="006572A9" w:rsidP="00DC604E">
      <w:pPr>
        <w:rPr>
          <w:rFonts w:ascii="Rawline" w:hAnsi="Rawline" w:cs="Arial"/>
          <w:b/>
          <w:bCs/>
          <w:color w:val="002060"/>
          <w:sz w:val="34"/>
          <w:szCs w:val="34"/>
        </w:rPr>
      </w:pPr>
      <w:r w:rsidRPr="00184C24">
        <w:rPr>
          <w:rFonts w:ascii="Rawline" w:hAnsi="Rawline" w:cs="Arial"/>
          <w:b/>
          <w:bCs/>
          <w:color w:val="002060"/>
          <w:sz w:val="34"/>
          <w:szCs w:val="34"/>
        </w:rPr>
        <w:t>A</w:t>
      </w:r>
      <w:r w:rsidR="00A06559" w:rsidRPr="00184C24">
        <w:rPr>
          <w:rFonts w:ascii="Rawline" w:hAnsi="Rawline" w:cs="Arial"/>
          <w:b/>
          <w:bCs/>
          <w:color w:val="002060"/>
          <w:sz w:val="34"/>
          <w:szCs w:val="34"/>
        </w:rPr>
        <w:t>nti-racist Wales Action Plan</w:t>
      </w:r>
      <w:r w:rsidR="00D32CA3" w:rsidRPr="00184C24">
        <w:rPr>
          <w:rFonts w:ascii="Rawline" w:hAnsi="Rawline" w:cs="Arial"/>
          <w:b/>
          <w:bCs/>
          <w:color w:val="002060"/>
          <w:sz w:val="34"/>
          <w:szCs w:val="34"/>
        </w:rPr>
        <w:t xml:space="preserve">: </w:t>
      </w:r>
      <w:r w:rsidRPr="00184C24">
        <w:rPr>
          <w:rFonts w:ascii="Rawline" w:hAnsi="Rawline" w:cs="Arial"/>
          <w:b/>
          <w:bCs/>
          <w:color w:val="002060"/>
          <w:sz w:val="34"/>
          <w:szCs w:val="34"/>
        </w:rPr>
        <w:t xml:space="preserve">Homes and Places </w:t>
      </w:r>
    </w:p>
    <w:p w14:paraId="1A5D2F45" w14:textId="101B926E" w:rsidR="006572A9" w:rsidRPr="00184C24" w:rsidRDefault="006572A9" w:rsidP="00DC604E">
      <w:pPr>
        <w:rPr>
          <w:rFonts w:ascii="Rawline" w:hAnsi="Rawline" w:cs="Arial"/>
          <w:b/>
          <w:bCs/>
          <w:color w:val="002060"/>
          <w:sz w:val="34"/>
          <w:szCs w:val="34"/>
        </w:rPr>
      </w:pPr>
      <w:r w:rsidRPr="00184C24">
        <w:rPr>
          <w:rFonts w:ascii="Rawline" w:hAnsi="Rawline" w:cs="Arial"/>
          <w:b/>
          <w:bCs/>
          <w:color w:val="002060"/>
          <w:sz w:val="34"/>
          <w:szCs w:val="34"/>
        </w:rPr>
        <w:t>Tai Pawb information</w:t>
      </w:r>
      <w:r w:rsidR="00467F27" w:rsidRPr="00184C24">
        <w:rPr>
          <w:rFonts w:ascii="Rawline" w:hAnsi="Rawline" w:cs="Arial"/>
          <w:b/>
          <w:bCs/>
          <w:color w:val="002060"/>
          <w:sz w:val="34"/>
          <w:szCs w:val="34"/>
        </w:rPr>
        <w:t xml:space="preserve"> and support</w:t>
      </w:r>
      <w:r w:rsidRPr="00184C24">
        <w:rPr>
          <w:rFonts w:ascii="Rawline" w:hAnsi="Rawline" w:cs="Arial"/>
          <w:b/>
          <w:bCs/>
          <w:color w:val="002060"/>
          <w:sz w:val="34"/>
          <w:szCs w:val="34"/>
        </w:rPr>
        <w:t xml:space="preserve"> </w:t>
      </w:r>
      <w:r w:rsidR="00467F27" w:rsidRPr="00184C24">
        <w:rPr>
          <w:rFonts w:ascii="Rawline" w:hAnsi="Rawline" w:cs="Arial"/>
          <w:b/>
          <w:bCs/>
          <w:color w:val="002060"/>
          <w:sz w:val="34"/>
          <w:szCs w:val="34"/>
        </w:rPr>
        <w:t>for local authorities</w:t>
      </w:r>
    </w:p>
    <w:p w14:paraId="1E43A831" w14:textId="54C88777" w:rsidR="00C34141" w:rsidRPr="00184C24" w:rsidRDefault="00246DCF" w:rsidP="00DC604E">
      <w:pPr>
        <w:rPr>
          <w:rFonts w:ascii="Rawline" w:hAnsi="Rawline" w:cs="Arial"/>
          <w:color w:val="002060"/>
          <w:sz w:val="24"/>
          <w:szCs w:val="24"/>
        </w:rPr>
      </w:pPr>
      <w:r w:rsidRPr="00184C24">
        <w:rPr>
          <w:rFonts w:ascii="Rawline" w:hAnsi="Rawline" w:cs="Arial"/>
          <w:sz w:val="24"/>
          <w:szCs w:val="24"/>
        </w:rPr>
        <w:t xml:space="preserve">Contact: </w:t>
      </w:r>
      <w:r w:rsidR="007D5687" w:rsidRPr="00184C24">
        <w:rPr>
          <w:rFonts w:ascii="Rawline" w:hAnsi="Rawline" w:cs="Arial"/>
          <w:sz w:val="24"/>
          <w:szCs w:val="24"/>
        </w:rPr>
        <w:t xml:space="preserve"> </w:t>
      </w:r>
      <w:hyperlink r:id="rId8" w:history="1">
        <w:r w:rsidRPr="00184C24">
          <w:rPr>
            <w:rStyle w:val="Hyperlink"/>
            <w:rFonts w:ascii="Rawline" w:hAnsi="Rawline" w:cs="Arial"/>
            <w:sz w:val="24"/>
            <w:szCs w:val="24"/>
          </w:rPr>
          <w:t>simon@taipawb.org</w:t>
        </w:r>
      </w:hyperlink>
      <w:r w:rsidRPr="00184C24">
        <w:rPr>
          <w:rFonts w:ascii="Rawline" w:hAnsi="Rawline" w:cs="Arial"/>
          <w:sz w:val="24"/>
          <w:szCs w:val="24"/>
        </w:rPr>
        <w:t xml:space="preserve">  </w:t>
      </w:r>
      <w:r w:rsidR="000236A8">
        <w:rPr>
          <w:rFonts w:ascii="Rawline" w:hAnsi="Rawline" w:cs="Arial"/>
          <w:sz w:val="24"/>
          <w:szCs w:val="24"/>
        </w:rPr>
        <w:t xml:space="preserve">or </w:t>
      </w:r>
      <w:hyperlink r:id="rId9" w:history="1">
        <w:r w:rsidR="000236A8" w:rsidRPr="009C3494">
          <w:rPr>
            <w:rStyle w:val="Hyperlink"/>
            <w:rFonts w:ascii="Rawline" w:hAnsi="Rawline" w:cs="Arial"/>
            <w:sz w:val="24"/>
            <w:szCs w:val="24"/>
          </w:rPr>
          <w:t>alicja@taipawb.org</w:t>
        </w:r>
      </w:hyperlink>
      <w:r w:rsidR="000236A8">
        <w:rPr>
          <w:rFonts w:ascii="Rawline" w:hAnsi="Rawline" w:cs="Arial"/>
          <w:sz w:val="24"/>
          <w:szCs w:val="24"/>
        </w:rPr>
        <w:t xml:space="preserve"> </w:t>
      </w:r>
    </w:p>
    <w:tbl>
      <w:tblPr>
        <w:tblStyle w:val="TableGrid"/>
        <w:tblW w:w="5590" w:type="pct"/>
        <w:tblInd w:w="-856" w:type="dxa"/>
        <w:tblLook w:val="04A0" w:firstRow="1" w:lastRow="0" w:firstColumn="1" w:lastColumn="0" w:noHBand="0" w:noVBand="1"/>
      </w:tblPr>
      <w:tblGrid>
        <w:gridCol w:w="5105"/>
        <w:gridCol w:w="10489"/>
      </w:tblGrid>
      <w:tr w:rsidR="00D867CB" w:rsidRPr="00184C24" w14:paraId="5E088CFF" w14:textId="77777777" w:rsidTr="00F37641">
        <w:tc>
          <w:tcPr>
            <w:tcW w:w="1637" w:type="pct"/>
            <w:shd w:val="clear" w:color="auto" w:fill="E7E6E6" w:themeFill="background2"/>
          </w:tcPr>
          <w:p w14:paraId="0DB9DADC" w14:textId="73A175AB" w:rsidR="00D867CB" w:rsidRPr="00184C24" w:rsidRDefault="00C369A6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color w:val="002060"/>
                <w:sz w:val="34"/>
                <w:szCs w:val="34"/>
              </w:rPr>
              <w:t xml:space="preserve"> </w:t>
            </w:r>
            <w:r w:rsidR="00C34141" w:rsidRPr="00184C24">
              <w:rPr>
                <w:rFonts w:ascii="Rawline" w:hAnsi="Rawline" w:cs="Arial"/>
              </w:rPr>
              <w:t>ARWAP A</w:t>
            </w:r>
            <w:r w:rsidR="00D867CB" w:rsidRPr="00184C24">
              <w:rPr>
                <w:rFonts w:ascii="Rawline" w:hAnsi="Rawline" w:cs="Arial"/>
              </w:rPr>
              <w:t xml:space="preserve">ction </w:t>
            </w:r>
          </w:p>
        </w:tc>
        <w:tc>
          <w:tcPr>
            <w:tcW w:w="3363" w:type="pct"/>
            <w:shd w:val="clear" w:color="auto" w:fill="E7E6E6" w:themeFill="background2"/>
          </w:tcPr>
          <w:p w14:paraId="674F0891" w14:textId="1738D12B" w:rsidR="00D867CB" w:rsidRPr="00184C24" w:rsidRDefault="00A66714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Considerations for housing departments</w:t>
            </w:r>
            <w:r w:rsidR="00F13358" w:rsidRPr="00184C24">
              <w:rPr>
                <w:rFonts w:ascii="Rawline" w:hAnsi="Rawline" w:cs="Arial"/>
              </w:rPr>
              <w:t xml:space="preserve"> </w:t>
            </w:r>
            <w:r w:rsidRPr="00184C24">
              <w:rPr>
                <w:rFonts w:ascii="Rawline" w:hAnsi="Rawline" w:cs="Arial"/>
              </w:rPr>
              <w:t xml:space="preserve">&amp; whether </w:t>
            </w:r>
            <w:r w:rsidR="007E38C5" w:rsidRPr="00184C24">
              <w:rPr>
                <w:rFonts w:ascii="Rawline" w:hAnsi="Rawline" w:cs="Arial"/>
              </w:rPr>
              <w:t xml:space="preserve">potentially </w:t>
            </w:r>
            <w:r w:rsidR="00F13358" w:rsidRPr="00184C24">
              <w:rPr>
                <w:rFonts w:ascii="Rawline" w:hAnsi="Rawline" w:cs="Arial"/>
              </w:rPr>
              <w:t>corporate or housing specific</w:t>
            </w:r>
            <w:r w:rsidR="007E38C5" w:rsidRPr="00184C24">
              <w:rPr>
                <w:rFonts w:ascii="Rawline" w:hAnsi="Rawline" w:cs="Arial"/>
              </w:rPr>
              <w:t xml:space="preserve"> action</w:t>
            </w:r>
          </w:p>
        </w:tc>
      </w:tr>
      <w:tr w:rsidR="00D867CB" w:rsidRPr="00184C24" w14:paraId="73FFB6C9" w14:textId="77777777" w:rsidTr="00F37641">
        <w:tc>
          <w:tcPr>
            <w:tcW w:w="1637" w:type="pct"/>
          </w:tcPr>
          <w:p w14:paraId="0916092D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Improve </w:t>
            </w:r>
            <w:r w:rsidRPr="00184C24">
              <w:rPr>
                <w:rFonts w:ascii="Rawline" w:hAnsi="Rawline" w:cs="Arial"/>
                <w:b/>
                <w:bCs/>
              </w:rPr>
              <w:t>racial diversity</w:t>
            </w:r>
            <w:r w:rsidRPr="00184C24">
              <w:rPr>
                <w:rFonts w:ascii="Rawline" w:hAnsi="Rawline" w:cs="Arial"/>
              </w:rPr>
              <w:t xml:space="preserve"> of boards, advisory groups and wider workforce (including senior leadership)</w:t>
            </w:r>
          </w:p>
        </w:tc>
        <w:tc>
          <w:tcPr>
            <w:tcW w:w="3363" w:type="pct"/>
          </w:tcPr>
          <w:p w14:paraId="2D6AC476" w14:textId="0C4BE678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Corporate but important for housing colleagues to </w:t>
            </w:r>
            <w:r w:rsidR="00C840E2" w:rsidRPr="00184C24">
              <w:rPr>
                <w:rFonts w:ascii="Rawline" w:hAnsi="Rawline" w:cs="Arial"/>
              </w:rPr>
              <w:t>consider how it applies to their teams.</w:t>
            </w:r>
            <w:r w:rsidRPr="00184C24">
              <w:rPr>
                <w:rFonts w:ascii="Rawline" w:hAnsi="Rawline" w:cs="Arial"/>
              </w:rPr>
              <w:t xml:space="preserve"> See our page on </w:t>
            </w:r>
            <w:hyperlink r:id="rId10" w:history="1">
              <w:r w:rsidRPr="00184C24">
                <w:rPr>
                  <w:rStyle w:val="Hyperlink"/>
                  <w:rFonts w:ascii="Rawline" w:hAnsi="Rawline" w:cs="Arial"/>
                </w:rPr>
                <w:t>recruitment and diversity.</w:t>
              </w:r>
            </w:hyperlink>
          </w:p>
        </w:tc>
      </w:tr>
      <w:tr w:rsidR="00D867CB" w:rsidRPr="00184C24" w14:paraId="04CE2536" w14:textId="77777777" w:rsidTr="00F37641">
        <w:trPr>
          <w:trHeight w:val="583"/>
        </w:trPr>
        <w:tc>
          <w:tcPr>
            <w:tcW w:w="1637" w:type="pct"/>
          </w:tcPr>
          <w:p w14:paraId="341427A5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Anti-racism </w:t>
            </w:r>
            <w:r w:rsidRPr="00184C24">
              <w:rPr>
                <w:rFonts w:ascii="Rawline" w:hAnsi="Rawline" w:cs="Arial"/>
                <w:b/>
                <w:bCs/>
              </w:rPr>
              <w:t>delivery plans</w:t>
            </w:r>
            <w:r w:rsidRPr="00184C24">
              <w:rPr>
                <w:rFonts w:ascii="Rawline" w:hAnsi="Rawline" w:cs="Arial"/>
              </w:rPr>
              <w:t xml:space="preserve"> – by Dec 2023</w:t>
            </w:r>
          </w:p>
        </w:tc>
        <w:tc>
          <w:tcPr>
            <w:tcW w:w="3363" w:type="pct"/>
          </w:tcPr>
          <w:p w14:paraId="663E72FC" w14:textId="61EC4F8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Probably corporate but will involve input from housing colleagues</w:t>
            </w:r>
            <w:r w:rsidR="00C840E2" w:rsidRPr="00184C24">
              <w:rPr>
                <w:rFonts w:ascii="Rawline" w:hAnsi="Rawline" w:cs="Arial"/>
              </w:rPr>
              <w:t>. See our page with examples o</w:t>
            </w:r>
            <w:hyperlink r:id="rId11" w:history="1">
              <w:r w:rsidR="00C840E2" w:rsidRPr="00184C24">
                <w:rPr>
                  <w:rStyle w:val="Hyperlink"/>
                  <w:rFonts w:ascii="Rawline" w:hAnsi="Rawline" w:cs="Arial"/>
                </w:rPr>
                <w:t>f action plans</w:t>
              </w:r>
            </w:hyperlink>
            <w:r w:rsidR="00C840E2" w:rsidRPr="00184C24">
              <w:rPr>
                <w:rFonts w:ascii="Rawline" w:hAnsi="Rawline" w:cs="Arial"/>
              </w:rPr>
              <w:t xml:space="preserve"> (these are currently RSL or Housing Support focuses)</w:t>
            </w:r>
          </w:p>
        </w:tc>
      </w:tr>
      <w:tr w:rsidR="00D867CB" w:rsidRPr="00184C24" w14:paraId="4311EE50" w14:textId="77777777" w:rsidTr="00F37641">
        <w:trPr>
          <w:trHeight w:val="583"/>
        </w:trPr>
        <w:tc>
          <w:tcPr>
            <w:tcW w:w="1637" w:type="pct"/>
          </w:tcPr>
          <w:p w14:paraId="73763F2A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b/>
                <w:bCs/>
              </w:rPr>
              <w:t>Anti-racism training</w:t>
            </w:r>
            <w:r w:rsidRPr="00184C24">
              <w:rPr>
                <w:rFonts w:ascii="Rawline" w:hAnsi="Rawline" w:cs="Arial"/>
              </w:rPr>
              <w:t xml:space="preserve"> to workforce – boards and senior leaders by Dec 2023</w:t>
            </w:r>
          </w:p>
        </w:tc>
        <w:tc>
          <w:tcPr>
            <w:tcW w:w="3363" w:type="pct"/>
          </w:tcPr>
          <w:p w14:paraId="1A621117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Training might be provided through corporate function. If housing colleagues are interested - Tai Pawb provides Anti-racism training specific to housing. </w:t>
            </w:r>
          </w:p>
          <w:p w14:paraId="3F36694F" w14:textId="77777777" w:rsidR="00D867CB" w:rsidRPr="00184C24" w:rsidRDefault="000236A8" w:rsidP="00F37641">
            <w:pPr>
              <w:rPr>
                <w:rFonts w:ascii="Rawline" w:hAnsi="Rawline"/>
              </w:rPr>
            </w:pPr>
            <w:hyperlink r:id="rId12" w:history="1">
              <w:r w:rsidR="00D867CB" w:rsidRPr="00184C24">
                <w:rPr>
                  <w:rStyle w:val="Hyperlink"/>
                  <w:rFonts w:ascii="Rawline" w:hAnsi="Rawline"/>
                </w:rPr>
                <w:t>Anti Racism for Staff - Tai Pawb</w:t>
              </w:r>
            </w:hyperlink>
          </w:p>
          <w:p w14:paraId="2572E041" w14:textId="77777777" w:rsidR="00D867CB" w:rsidRPr="00184C24" w:rsidRDefault="000236A8" w:rsidP="00F37641">
            <w:pPr>
              <w:rPr>
                <w:rFonts w:ascii="Rawline" w:hAnsi="Rawline" w:cs="Arial"/>
              </w:rPr>
            </w:pPr>
            <w:hyperlink r:id="rId13" w:history="1">
              <w:r w:rsidR="00D867CB" w:rsidRPr="00184C24">
                <w:rPr>
                  <w:rStyle w:val="Hyperlink"/>
                  <w:rFonts w:ascii="Rawline" w:hAnsi="Rawline"/>
                </w:rPr>
                <w:t>Anti Racism for Board, Senior Management &amp; Governance - Tai Pawb</w:t>
              </w:r>
            </w:hyperlink>
          </w:p>
        </w:tc>
      </w:tr>
      <w:tr w:rsidR="00D867CB" w:rsidRPr="00184C24" w14:paraId="01177822" w14:textId="77777777" w:rsidTr="00F37641">
        <w:trPr>
          <w:trHeight w:val="583"/>
        </w:trPr>
        <w:tc>
          <w:tcPr>
            <w:tcW w:w="1637" w:type="pct"/>
          </w:tcPr>
          <w:p w14:paraId="21F03E98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Improve policies and processes for reporting racism </w:t>
            </w:r>
            <w:proofErr w:type="spellStart"/>
            <w:r w:rsidRPr="00184C24">
              <w:rPr>
                <w:rFonts w:ascii="Rawline" w:hAnsi="Rawline" w:cs="Arial"/>
              </w:rPr>
              <w:t>i</w:t>
            </w:r>
            <w:r w:rsidRPr="00184C24">
              <w:rPr>
                <w:rFonts w:ascii="Rawline" w:hAnsi="Rawline" w:cs="Arial"/>
                <w:b/>
                <w:bCs/>
              </w:rPr>
              <w:t>ncl</w:t>
            </w:r>
            <w:proofErr w:type="spellEnd"/>
            <w:r w:rsidRPr="00184C24">
              <w:rPr>
                <w:rFonts w:ascii="Rawline" w:hAnsi="Rawline" w:cs="Arial"/>
                <w:b/>
                <w:bCs/>
              </w:rPr>
              <w:t xml:space="preserve"> hate crime </w:t>
            </w:r>
            <w:r w:rsidRPr="00184C24">
              <w:rPr>
                <w:rFonts w:ascii="Rawline" w:hAnsi="Rawline" w:cs="Arial"/>
              </w:rPr>
              <w:t>and harassment &amp; monitor regularly</w:t>
            </w:r>
          </w:p>
        </w:tc>
        <w:tc>
          <w:tcPr>
            <w:tcW w:w="3363" w:type="pct"/>
          </w:tcPr>
          <w:p w14:paraId="189E044B" w14:textId="5F11A022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There may be corporate focus on this. LA’s with housing stock: may want to review or develop their ASB/Hate Crime Policies and Procedures; plan actions aimed at </w:t>
            </w:r>
            <w:r w:rsidR="00FC6650" w:rsidRPr="00184C24">
              <w:rPr>
                <w:rFonts w:ascii="Rawline" w:hAnsi="Rawline" w:cs="Arial"/>
              </w:rPr>
              <w:t>e.g. increasing</w:t>
            </w:r>
            <w:r w:rsidRPr="00184C24">
              <w:rPr>
                <w:rFonts w:ascii="Rawline" w:hAnsi="Rawline" w:cs="Arial"/>
              </w:rPr>
              <w:t xml:space="preserve"> reporting, improving support, preventing hate crime, improving monitoring, raising awareness amongst tenants etc. LA’s with no stock may want to consider how hate crime features in their homelessness/allocations functions (e.g. rehousing victims or perpetrators; </w:t>
            </w:r>
            <w:r w:rsidR="009C466B" w:rsidRPr="00184C24">
              <w:rPr>
                <w:rFonts w:ascii="Rawline" w:hAnsi="Rawline" w:cs="Arial"/>
              </w:rPr>
              <w:t xml:space="preserve">we are reviewing </w:t>
            </w:r>
            <w:r w:rsidR="00167918" w:rsidRPr="00184C24">
              <w:rPr>
                <w:rFonts w:ascii="Rawline" w:hAnsi="Rawline" w:cs="Arial"/>
              </w:rPr>
              <w:t xml:space="preserve">housing specific </w:t>
            </w:r>
            <w:hyperlink r:id="rId14" w:history="1">
              <w:r w:rsidR="00167918" w:rsidRPr="00184C24">
                <w:rPr>
                  <w:rStyle w:val="Hyperlink"/>
                  <w:rFonts w:ascii="Rawline" w:hAnsi="Rawline" w:cs="Arial"/>
                </w:rPr>
                <w:t>hate crime toolkit</w:t>
              </w:r>
            </w:hyperlink>
          </w:p>
        </w:tc>
      </w:tr>
      <w:tr w:rsidR="00D867CB" w:rsidRPr="00184C24" w14:paraId="2902EB45" w14:textId="77777777" w:rsidTr="00BC5CF3">
        <w:trPr>
          <w:trHeight w:val="583"/>
        </w:trPr>
        <w:tc>
          <w:tcPr>
            <w:tcW w:w="1637" w:type="pct"/>
            <w:shd w:val="clear" w:color="auto" w:fill="FFE599" w:themeFill="accent4" w:themeFillTint="66"/>
          </w:tcPr>
          <w:p w14:paraId="7C685D61" w14:textId="77777777" w:rsidR="00D867CB" w:rsidRPr="00184C24" w:rsidRDefault="003A182A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Use new </w:t>
            </w:r>
            <w:r w:rsidRPr="00184C24">
              <w:rPr>
                <w:rFonts w:ascii="Rawline" w:hAnsi="Rawline" w:cs="Arial"/>
                <w:b/>
                <w:bCs/>
              </w:rPr>
              <w:t>L</w:t>
            </w:r>
            <w:r w:rsidR="00D867CB" w:rsidRPr="00184C24">
              <w:rPr>
                <w:rFonts w:ascii="Rawline" w:hAnsi="Rawline" w:cs="Arial"/>
                <w:b/>
                <w:bCs/>
              </w:rPr>
              <w:t>ocal Housing Market Assessment</w:t>
            </w:r>
            <w:r w:rsidRPr="00184C24">
              <w:rPr>
                <w:rFonts w:ascii="Rawline" w:hAnsi="Rawline" w:cs="Arial"/>
              </w:rPr>
              <w:t xml:space="preserve"> process and guidance focused on better understanding housing needs of ethnic minority people.</w:t>
            </w:r>
          </w:p>
        </w:tc>
        <w:tc>
          <w:tcPr>
            <w:tcW w:w="3363" w:type="pct"/>
            <w:shd w:val="clear" w:color="auto" w:fill="FFE599" w:themeFill="accent4" w:themeFillTint="66"/>
          </w:tcPr>
          <w:p w14:paraId="4AD358CF" w14:textId="718F997C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Housing specific. New</w:t>
            </w:r>
            <w:r w:rsidR="00485C88" w:rsidRPr="00184C24">
              <w:rPr>
                <w:rFonts w:ascii="Rawline" w:hAnsi="Rawline" w:cs="Arial"/>
              </w:rPr>
              <w:t xml:space="preserve"> LHMA</w:t>
            </w:r>
            <w:r w:rsidRPr="00184C24">
              <w:rPr>
                <w:rFonts w:ascii="Rawline" w:hAnsi="Rawline" w:cs="Arial"/>
              </w:rPr>
              <w:t xml:space="preserve"> guidance requires assessment of housing needs of ethnic minority populations</w:t>
            </w:r>
            <w:r w:rsidR="00485C88" w:rsidRPr="00184C24">
              <w:rPr>
                <w:rFonts w:ascii="Rawline" w:hAnsi="Rawline" w:cs="Arial"/>
              </w:rPr>
              <w:t xml:space="preserve"> (amongst others)</w:t>
            </w:r>
            <w:r w:rsidRPr="00184C24">
              <w:rPr>
                <w:rFonts w:ascii="Rawline" w:hAnsi="Rawline" w:cs="Arial"/>
              </w:rPr>
              <w:t>. Tai Pawb is developing good practice guide on this</w:t>
            </w:r>
            <w:r w:rsidR="00987289" w:rsidRPr="00184C24">
              <w:rPr>
                <w:rFonts w:ascii="Rawline" w:hAnsi="Rawline" w:cs="Arial"/>
              </w:rPr>
              <w:t xml:space="preserve"> as well as a guide to culturally</w:t>
            </w:r>
            <w:r w:rsidR="00FC6650" w:rsidRPr="00184C24">
              <w:rPr>
                <w:rFonts w:ascii="Rawline" w:hAnsi="Rawline" w:cs="Arial"/>
              </w:rPr>
              <w:t xml:space="preserve"> inclusive</w:t>
            </w:r>
            <w:r w:rsidRPr="00184C24">
              <w:rPr>
                <w:rFonts w:ascii="Rawline" w:hAnsi="Rawline" w:cs="Arial"/>
              </w:rPr>
              <w:t xml:space="preserve">. We will be engaging with housing colleagues to learn about their experience to feed into this. See our page on </w:t>
            </w:r>
            <w:hyperlink r:id="rId15" w:history="1">
              <w:r w:rsidRPr="00184C24">
                <w:rPr>
                  <w:rStyle w:val="Hyperlink"/>
                  <w:rFonts w:ascii="Rawline" w:hAnsi="Rawline" w:cs="Arial"/>
                </w:rPr>
                <w:t>housing conditions and overcrowding</w:t>
              </w:r>
            </w:hyperlink>
            <w:r w:rsidR="008338B9" w:rsidRPr="00184C24">
              <w:rPr>
                <w:rFonts w:ascii="Rawline" w:hAnsi="Rawline" w:cs="Arial"/>
              </w:rPr>
              <w:t xml:space="preserve"> and </w:t>
            </w:r>
            <w:hyperlink r:id="rId16" w:history="1">
              <w:r w:rsidR="008338B9" w:rsidRPr="00184C24">
                <w:rPr>
                  <w:rStyle w:val="Hyperlink"/>
                  <w:rFonts w:ascii="Rawline" w:hAnsi="Rawline" w:cs="Arial"/>
                </w:rPr>
                <w:t>Culturally inclusive housing design</w:t>
              </w:r>
            </w:hyperlink>
          </w:p>
        </w:tc>
      </w:tr>
      <w:tr w:rsidR="00D867CB" w:rsidRPr="00184C24" w14:paraId="0AF5D59F" w14:textId="77777777" w:rsidTr="00F37641">
        <w:tc>
          <w:tcPr>
            <w:tcW w:w="1637" w:type="pct"/>
          </w:tcPr>
          <w:p w14:paraId="70088962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Improve </w:t>
            </w:r>
            <w:r w:rsidRPr="00184C24">
              <w:rPr>
                <w:rFonts w:ascii="Rawline" w:hAnsi="Rawline" w:cs="Arial"/>
                <w:b/>
                <w:bCs/>
              </w:rPr>
              <w:t>data</w:t>
            </w:r>
            <w:r w:rsidRPr="00184C24">
              <w:rPr>
                <w:rFonts w:ascii="Rawline" w:hAnsi="Rawline" w:cs="Arial"/>
              </w:rPr>
              <w:t xml:space="preserve"> collection, analysis, usage and publication (across services)</w:t>
            </w:r>
          </w:p>
        </w:tc>
        <w:tc>
          <w:tcPr>
            <w:tcW w:w="3363" w:type="pct"/>
          </w:tcPr>
          <w:p w14:paraId="128B7435" w14:textId="3729FF22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There may be corporate </w:t>
            </w:r>
            <w:r w:rsidR="0098077D" w:rsidRPr="00184C24">
              <w:rPr>
                <w:rFonts w:ascii="Rawline" w:hAnsi="Rawline" w:cs="Arial"/>
              </w:rPr>
              <w:t xml:space="preserve">&amp; housing </w:t>
            </w:r>
            <w:r w:rsidRPr="00184C24">
              <w:rPr>
                <w:rFonts w:ascii="Rawline" w:hAnsi="Rawline" w:cs="Arial"/>
              </w:rPr>
              <w:t xml:space="preserve">focus on this. Tai Pawb can provide advice on race related data collection and analysis under ARWAP support. For members of Tai Pawb: there is a lot of other support and advice on collecting and using equality data in housing. </w:t>
            </w:r>
          </w:p>
        </w:tc>
      </w:tr>
      <w:tr w:rsidR="00D867CB" w:rsidRPr="00184C24" w14:paraId="7F332220" w14:textId="77777777" w:rsidTr="00BC5CF3">
        <w:tc>
          <w:tcPr>
            <w:tcW w:w="1637" w:type="pct"/>
            <w:shd w:val="clear" w:color="auto" w:fill="FFE599" w:themeFill="accent4" w:themeFillTint="66"/>
          </w:tcPr>
          <w:p w14:paraId="1410E95D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Ensure anti-racism is integral to transformation of </w:t>
            </w:r>
            <w:r w:rsidRPr="00184C24">
              <w:rPr>
                <w:rFonts w:ascii="Rawline" w:hAnsi="Rawline" w:cs="Arial"/>
                <w:b/>
                <w:bCs/>
              </w:rPr>
              <w:t>homelessness services</w:t>
            </w:r>
            <w:r w:rsidRPr="00184C24">
              <w:rPr>
                <w:rFonts w:ascii="Rawline" w:hAnsi="Rawline" w:cs="Arial"/>
              </w:rPr>
              <w:t xml:space="preserve"> (e.g. rapid rehousing, allocations)</w:t>
            </w:r>
          </w:p>
        </w:tc>
        <w:tc>
          <w:tcPr>
            <w:tcW w:w="3363" w:type="pct"/>
            <w:shd w:val="clear" w:color="auto" w:fill="FFE599" w:themeFill="accent4" w:themeFillTint="66"/>
          </w:tcPr>
          <w:p w14:paraId="67D55BE4" w14:textId="7CDAE769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Housing Specific: LA’s can consider </w:t>
            </w:r>
            <w:proofErr w:type="spellStart"/>
            <w:r w:rsidRPr="00184C24">
              <w:rPr>
                <w:rFonts w:ascii="Rawline" w:hAnsi="Rawline" w:cs="Arial"/>
              </w:rPr>
              <w:t>e.g.what</w:t>
            </w:r>
            <w:proofErr w:type="spellEnd"/>
            <w:r w:rsidRPr="00184C24">
              <w:rPr>
                <w:rFonts w:ascii="Rawline" w:hAnsi="Rawline" w:cs="Arial"/>
              </w:rPr>
              <w:t xml:space="preserve"> data is available on race and homelessness (needs etc) how are race issues considered under their Rapid Rehousing Transition Plans; the impact on race of any changes to allocation policies/housing registers; wider needs of ethnic minority people </w:t>
            </w:r>
            <w:r w:rsidRPr="00184C24">
              <w:rPr>
                <w:rFonts w:ascii="Rawline" w:hAnsi="Rawline" w:cs="Arial"/>
              </w:rPr>
              <w:lastRenderedPageBreak/>
              <w:t xml:space="preserve">experiencing homelessness; Widening Dispersal and impact on homelessness; implementation of the forthcoming Ending Homelessness Outcomes Framework (race considerations); wider refugee/asylum seeker issues; </w:t>
            </w:r>
            <w:r w:rsidR="007939D9" w:rsidRPr="00184C24">
              <w:rPr>
                <w:rFonts w:ascii="Rawline" w:hAnsi="Rawline" w:cs="Arial"/>
              </w:rPr>
              <w:t xml:space="preserve"> </w:t>
            </w:r>
          </w:p>
        </w:tc>
      </w:tr>
      <w:tr w:rsidR="00D867CB" w:rsidRPr="00184C24" w14:paraId="70068CF1" w14:textId="77777777" w:rsidTr="00BC5CF3">
        <w:tc>
          <w:tcPr>
            <w:tcW w:w="1637" w:type="pct"/>
            <w:shd w:val="clear" w:color="auto" w:fill="FFE599" w:themeFill="accent4" w:themeFillTint="66"/>
          </w:tcPr>
          <w:p w14:paraId="67B11FD5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b/>
                <w:bCs/>
              </w:rPr>
              <w:lastRenderedPageBreak/>
              <w:t>Housing related support commissioning</w:t>
            </w:r>
            <w:r w:rsidRPr="00184C24">
              <w:rPr>
                <w:rFonts w:ascii="Rawline" w:hAnsi="Rawline" w:cs="Arial"/>
              </w:rPr>
              <w:t xml:space="preserve"> meets the needs of ethnic minority people</w:t>
            </w:r>
          </w:p>
        </w:tc>
        <w:tc>
          <w:tcPr>
            <w:tcW w:w="3363" w:type="pct"/>
            <w:shd w:val="clear" w:color="auto" w:fill="FFE599" w:themeFill="accent4" w:themeFillTint="66"/>
          </w:tcPr>
          <w:p w14:paraId="111F121D" w14:textId="2E7A2C75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Housing specific: LA’s can consider what they know</w:t>
            </w:r>
            <w:r w:rsidR="00967FC7" w:rsidRPr="00184C24">
              <w:rPr>
                <w:rFonts w:ascii="Rawline" w:hAnsi="Rawline" w:cs="Arial"/>
              </w:rPr>
              <w:t>/what data they have</w:t>
            </w:r>
            <w:r w:rsidRPr="00184C24">
              <w:rPr>
                <w:rFonts w:ascii="Rawline" w:hAnsi="Rawline" w:cs="Arial"/>
              </w:rPr>
              <w:t xml:space="preserve"> about current need, use and outcomes of commissioned housing support services</w:t>
            </w:r>
            <w:r w:rsidR="00967FC7" w:rsidRPr="00184C24">
              <w:rPr>
                <w:rFonts w:ascii="Rawline" w:hAnsi="Rawline" w:cs="Arial"/>
              </w:rPr>
              <w:t xml:space="preserve"> amongst ethnic minority populations</w:t>
            </w:r>
            <w:r w:rsidRPr="00184C24">
              <w:rPr>
                <w:rFonts w:ascii="Rawline" w:hAnsi="Rawline" w:cs="Arial"/>
              </w:rPr>
              <w:t xml:space="preserve">; </w:t>
            </w:r>
            <w:r w:rsidR="00AE6FA8" w:rsidRPr="00184C24">
              <w:rPr>
                <w:rFonts w:ascii="Rawline" w:hAnsi="Rawline" w:cs="Arial"/>
              </w:rPr>
              <w:t xml:space="preserve">how this is reflected in commissioned provision; </w:t>
            </w:r>
            <w:r w:rsidR="00773731" w:rsidRPr="00184C24">
              <w:rPr>
                <w:rFonts w:ascii="Rawline" w:hAnsi="Rawline" w:cs="Arial"/>
              </w:rPr>
              <w:t>how anti</w:t>
            </w:r>
            <w:r w:rsidR="00D934B1" w:rsidRPr="00184C24">
              <w:rPr>
                <w:rFonts w:ascii="Rawline" w:hAnsi="Rawline" w:cs="Arial"/>
              </w:rPr>
              <w:t>-racism is embedded in the commissioning process</w:t>
            </w:r>
            <w:r w:rsidR="001C6DE8" w:rsidRPr="00184C24">
              <w:rPr>
                <w:rFonts w:ascii="Rawline" w:hAnsi="Rawline" w:cs="Arial"/>
              </w:rPr>
              <w:t xml:space="preserve">, </w:t>
            </w:r>
            <w:r w:rsidR="00D934B1" w:rsidRPr="00184C24">
              <w:rPr>
                <w:rFonts w:ascii="Rawline" w:hAnsi="Rawline" w:cs="Arial"/>
              </w:rPr>
              <w:t xml:space="preserve">e.g. what do you require from organisations in terms of demonstrating </w:t>
            </w:r>
            <w:r w:rsidR="00444609" w:rsidRPr="00184C24">
              <w:rPr>
                <w:rFonts w:ascii="Rawline" w:hAnsi="Rawline" w:cs="Arial"/>
              </w:rPr>
              <w:t>how</w:t>
            </w:r>
            <w:r w:rsidR="001C6DE8" w:rsidRPr="00184C24">
              <w:rPr>
                <w:rFonts w:ascii="Rawline" w:hAnsi="Rawline" w:cs="Arial"/>
              </w:rPr>
              <w:t xml:space="preserve"> they meet the needs of ethnic minority communities (e.g. training, policies, monitoring </w:t>
            </w:r>
            <w:r w:rsidR="00830D76" w:rsidRPr="00184C24">
              <w:rPr>
                <w:rFonts w:ascii="Rawline" w:hAnsi="Rawline" w:cs="Arial"/>
              </w:rPr>
              <w:t>of outcomes by ethnicity etc.)</w:t>
            </w:r>
            <w:r w:rsidR="00AE6FA8" w:rsidRPr="00184C24">
              <w:rPr>
                <w:rFonts w:ascii="Rawline" w:hAnsi="Rawline" w:cs="Arial"/>
              </w:rPr>
              <w:t xml:space="preserve"> </w:t>
            </w:r>
            <w:r w:rsidR="00444609" w:rsidRPr="00184C24">
              <w:rPr>
                <w:rFonts w:ascii="Rawline" w:hAnsi="Rawline" w:cs="Arial"/>
              </w:rPr>
              <w:t xml:space="preserve">; in high diversity areas or regionally (in less diverse areas) </w:t>
            </w:r>
            <w:r w:rsidR="00967FC7" w:rsidRPr="00184C24">
              <w:rPr>
                <w:rFonts w:ascii="Rawline" w:hAnsi="Rawline" w:cs="Arial"/>
              </w:rPr>
              <w:t xml:space="preserve">consider </w:t>
            </w:r>
            <w:r w:rsidRPr="00184C24">
              <w:rPr>
                <w:rFonts w:ascii="Rawline" w:hAnsi="Rawline" w:cs="Arial"/>
              </w:rPr>
              <w:t xml:space="preserve">need for specific provisions from expert race organisations </w:t>
            </w:r>
            <w:r w:rsidR="00967FC7" w:rsidRPr="00184C24">
              <w:rPr>
                <w:rFonts w:ascii="Rawline" w:hAnsi="Rawline" w:cs="Arial"/>
              </w:rPr>
              <w:t>like BAWSO</w:t>
            </w:r>
            <w:r w:rsidR="00444609" w:rsidRPr="00184C24">
              <w:rPr>
                <w:rFonts w:ascii="Rawline" w:hAnsi="Rawline" w:cs="Arial"/>
              </w:rPr>
              <w:t xml:space="preserve"> or Welsh Refugee Council housing support. </w:t>
            </w:r>
          </w:p>
        </w:tc>
      </w:tr>
      <w:tr w:rsidR="00D867CB" w:rsidRPr="00184C24" w14:paraId="64EA78FE" w14:textId="77777777" w:rsidTr="00F37641">
        <w:tc>
          <w:tcPr>
            <w:tcW w:w="1637" w:type="pct"/>
          </w:tcPr>
          <w:p w14:paraId="4659F269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Improve </w:t>
            </w:r>
            <w:r w:rsidRPr="00184C24">
              <w:rPr>
                <w:rFonts w:ascii="Rawline" w:hAnsi="Rawline" w:cs="Arial"/>
                <w:b/>
                <w:bCs/>
              </w:rPr>
              <w:t>communication and engagement</w:t>
            </w:r>
            <w:r w:rsidRPr="00184C24">
              <w:rPr>
                <w:rFonts w:ascii="Rawline" w:hAnsi="Rawline" w:cs="Arial"/>
              </w:rPr>
              <w:t xml:space="preserve"> with ethnic minority people (&amp; reflect diversity in comms strategies and campaigns)</w:t>
            </w:r>
          </w:p>
        </w:tc>
        <w:tc>
          <w:tcPr>
            <w:tcW w:w="3363" w:type="pct"/>
          </w:tcPr>
          <w:p w14:paraId="03B57F8A" w14:textId="1F4465A9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Probably corporate action but housing dep</w:t>
            </w:r>
            <w:r w:rsidR="007C260D" w:rsidRPr="00184C24">
              <w:rPr>
                <w:rFonts w:ascii="Rawline" w:hAnsi="Rawline" w:cs="Arial"/>
              </w:rPr>
              <w:t xml:space="preserve">artments </w:t>
            </w:r>
            <w:r w:rsidRPr="00184C24">
              <w:rPr>
                <w:rFonts w:ascii="Rawline" w:hAnsi="Rawline" w:cs="Arial"/>
              </w:rPr>
              <w:t xml:space="preserve">can consider how they engage with ethnic minority tenants (if have stock) and/or service users (e.g. homelessness/housing support); e.g. are engagement structures representative of population etc. See our page on </w:t>
            </w:r>
            <w:hyperlink r:id="rId17" w:history="1">
              <w:r w:rsidRPr="00184C24">
                <w:rPr>
                  <w:rStyle w:val="Hyperlink"/>
                  <w:rFonts w:ascii="Rawline" w:hAnsi="Rawline" w:cs="Arial"/>
                </w:rPr>
                <w:t>Engaging ethnically diverse communities</w:t>
              </w:r>
            </w:hyperlink>
          </w:p>
        </w:tc>
      </w:tr>
      <w:tr w:rsidR="00D867CB" w:rsidRPr="00184C24" w14:paraId="23BB2338" w14:textId="77777777" w:rsidTr="00F37641">
        <w:tc>
          <w:tcPr>
            <w:tcW w:w="1637" w:type="pct"/>
          </w:tcPr>
          <w:p w14:paraId="12309A64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Ensure </w:t>
            </w:r>
            <w:r w:rsidRPr="00184C24">
              <w:rPr>
                <w:rFonts w:ascii="Rawline" w:hAnsi="Rawline" w:cs="Arial"/>
                <w:b/>
                <w:bCs/>
              </w:rPr>
              <w:t>information, advice and advocacy</w:t>
            </w:r>
            <w:r w:rsidRPr="00184C24">
              <w:rPr>
                <w:rFonts w:ascii="Rawline" w:hAnsi="Rawline" w:cs="Arial"/>
              </w:rPr>
              <w:t xml:space="preserve"> needs of ethnic minority people are fully met</w:t>
            </w:r>
          </w:p>
        </w:tc>
        <w:tc>
          <w:tcPr>
            <w:tcW w:w="3363" w:type="pct"/>
          </w:tcPr>
          <w:p w14:paraId="6D9FBA4E" w14:textId="27E9308E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Probably corporate action but housing dep</w:t>
            </w:r>
            <w:r w:rsidR="007C260D" w:rsidRPr="00184C24">
              <w:rPr>
                <w:rFonts w:ascii="Rawline" w:hAnsi="Rawline" w:cs="Arial"/>
              </w:rPr>
              <w:t>artments</w:t>
            </w:r>
            <w:r w:rsidRPr="00184C24">
              <w:rPr>
                <w:rFonts w:ascii="Rawline" w:hAnsi="Rawline" w:cs="Arial"/>
              </w:rPr>
              <w:t xml:space="preserve"> can consider what they know about housing advice/advocacy needs of ethnic minority populations </w:t>
            </w:r>
            <w:r w:rsidR="007939D9" w:rsidRPr="00184C24">
              <w:rPr>
                <w:rFonts w:ascii="Rawline" w:hAnsi="Rawline" w:cs="Arial"/>
              </w:rPr>
              <w:t>and how they meet these needs</w:t>
            </w:r>
          </w:p>
        </w:tc>
      </w:tr>
      <w:tr w:rsidR="00D867CB" w:rsidRPr="00184C24" w14:paraId="303ACD6E" w14:textId="77777777" w:rsidTr="00BC5CF3">
        <w:tc>
          <w:tcPr>
            <w:tcW w:w="1637" w:type="pct"/>
            <w:shd w:val="clear" w:color="auto" w:fill="FFE599" w:themeFill="accent4" w:themeFillTint="66"/>
          </w:tcPr>
          <w:p w14:paraId="5D42EFF0" w14:textId="77777777" w:rsidR="00D867CB" w:rsidRPr="00184C24" w:rsidRDefault="00D867CB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A number of actions focusing on </w:t>
            </w:r>
            <w:r w:rsidRPr="00184C24">
              <w:rPr>
                <w:rFonts w:ascii="Rawline" w:hAnsi="Rawline" w:cs="Arial"/>
                <w:b/>
                <w:bCs/>
              </w:rPr>
              <w:t>Gypsy and Traveller</w:t>
            </w:r>
            <w:r w:rsidRPr="00184C24">
              <w:rPr>
                <w:rFonts w:ascii="Rawline" w:hAnsi="Rawline" w:cs="Arial"/>
              </w:rPr>
              <w:t xml:space="preserve"> </w:t>
            </w:r>
            <w:proofErr w:type="spellStart"/>
            <w:r w:rsidRPr="00184C24">
              <w:rPr>
                <w:rFonts w:ascii="Rawline" w:hAnsi="Rawline" w:cs="Arial"/>
              </w:rPr>
              <w:t>Accomodation</w:t>
            </w:r>
            <w:proofErr w:type="spellEnd"/>
          </w:p>
        </w:tc>
        <w:tc>
          <w:tcPr>
            <w:tcW w:w="3363" w:type="pct"/>
            <w:shd w:val="clear" w:color="auto" w:fill="FFE599" w:themeFill="accent4" w:themeFillTint="66"/>
          </w:tcPr>
          <w:p w14:paraId="6BFBA6CC" w14:textId="06F68991" w:rsidR="00D867CB" w:rsidRPr="00184C24" w:rsidRDefault="00942BBD" w:rsidP="00F37641">
            <w:pPr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Housing and corporate: </w:t>
            </w:r>
            <w:r w:rsidR="00D867CB" w:rsidRPr="00184C24">
              <w:rPr>
                <w:rFonts w:ascii="Rawline" w:hAnsi="Rawline" w:cs="Arial"/>
              </w:rPr>
              <w:t xml:space="preserve">See our page on this topic </w:t>
            </w:r>
            <w:hyperlink r:id="rId18" w:history="1">
              <w:r w:rsidR="00D867CB" w:rsidRPr="00184C24">
                <w:rPr>
                  <w:rStyle w:val="Hyperlink"/>
                  <w:rFonts w:ascii="Rawline" w:hAnsi="Rawline" w:cs="Arial"/>
                </w:rPr>
                <w:t>Gypsies &amp; Travellers - Tai Pawb</w:t>
              </w:r>
            </w:hyperlink>
            <w:r w:rsidR="00D867CB" w:rsidRPr="00184C24">
              <w:rPr>
                <w:rStyle w:val="Hyperlink"/>
                <w:rFonts w:ascii="Rawline" w:hAnsi="Rawline" w:cs="Arial"/>
              </w:rPr>
              <w:t>.</w:t>
            </w:r>
            <w:r w:rsidR="00D867CB" w:rsidRPr="00184C24">
              <w:rPr>
                <w:rFonts w:ascii="Rawline" w:hAnsi="Rawline" w:cs="Arial"/>
              </w:rPr>
              <w:t xml:space="preserve"> GT Wales, Travelling Ahead etc can probably provide more specialist advice in this area</w:t>
            </w:r>
            <w:r w:rsidR="00F20EF3" w:rsidRPr="00184C24">
              <w:rPr>
                <w:rFonts w:ascii="Rawline" w:hAnsi="Rawline" w:cs="Arial"/>
              </w:rPr>
              <w:t xml:space="preserve"> (Tai Pawb are not experts in this)</w:t>
            </w:r>
            <w:r w:rsidR="00D867CB" w:rsidRPr="00184C24">
              <w:rPr>
                <w:rFonts w:ascii="Rawline" w:hAnsi="Rawline" w:cs="Arial"/>
              </w:rPr>
              <w:t xml:space="preserve">. Recent Senedd Inquiry highlighted </w:t>
            </w:r>
            <w:r w:rsidR="00A0143E" w:rsidRPr="00184C24">
              <w:rPr>
                <w:rFonts w:ascii="Rawline" w:hAnsi="Rawline" w:cs="Arial"/>
              </w:rPr>
              <w:t>need for</w:t>
            </w:r>
            <w:r w:rsidR="00D867CB" w:rsidRPr="00184C24">
              <w:rPr>
                <w:rFonts w:ascii="Rawline" w:hAnsi="Rawline" w:cs="Arial"/>
              </w:rPr>
              <w:t xml:space="preserve"> progress on site</w:t>
            </w:r>
            <w:r w:rsidR="00A0143E" w:rsidRPr="00184C24">
              <w:rPr>
                <w:rFonts w:ascii="Rawline" w:hAnsi="Rawline" w:cs="Arial"/>
              </w:rPr>
              <w:t xml:space="preserve"> provision</w:t>
            </w:r>
            <w:r w:rsidR="00D867CB" w:rsidRPr="00184C24">
              <w:rPr>
                <w:rFonts w:ascii="Rawline" w:hAnsi="Rawline" w:cs="Arial"/>
              </w:rPr>
              <w:t xml:space="preserve"> and the need to raise awareness/provide training. </w:t>
            </w:r>
          </w:p>
        </w:tc>
      </w:tr>
      <w:tr w:rsidR="00D867CB" w:rsidRPr="00184C24" w14:paraId="2825128F" w14:textId="77777777" w:rsidTr="00F37641">
        <w:tc>
          <w:tcPr>
            <w:tcW w:w="5000" w:type="pct"/>
            <w:gridSpan w:val="2"/>
          </w:tcPr>
          <w:p w14:paraId="5B557DAB" w14:textId="0CEB26AC" w:rsidR="00D867CB" w:rsidRPr="00184C24" w:rsidRDefault="00D867CB" w:rsidP="00F37641">
            <w:pPr>
              <w:rPr>
                <w:rFonts w:ascii="Rawline" w:hAnsi="Rawline" w:cs="Arial"/>
                <w:b/>
                <w:bCs/>
              </w:rPr>
            </w:pPr>
            <w:r w:rsidRPr="00184C24">
              <w:rPr>
                <w:rFonts w:ascii="Rawline" w:hAnsi="Rawline" w:cs="Arial"/>
                <w:b/>
                <w:bCs/>
              </w:rPr>
              <w:t xml:space="preserve">Tai Pawb has been funded </w:t>
            </w:r>
            <w:r w:rsidR="00D32CA3" w:rsidRPr="00184C24">
              <w:rPr>
                <w:rFonts w:ascii="Rawline" w:hAnsi="Rawline" w:cs="Arial"/>
                <w:b/>
                <w:bCs/>
              </w:rPr>
              <w:t>to support</w:t>
            </w:r>
            <w:r w:rsidRPr="00184C24">
              <w:rPr>
                <w:rFonts w:ascii="Rawline" w:hAnsi="Rawline" w:cs="Arial"/>
                <w:b/>
                <w:bCs/>
              </w:rPr>
              <w:t xml:space="preserve"> to the housing sector </w:t>
            </w:r>
            <w:r w:rsidR="00A06559" w:rsidRPr="00184C24">
              <w:rPr>
                <w:rFonts w:ascii="Rawline" w:hAnsi="Rawline" w:cs="Arial"/>
                <w:b/>
                <w:bCs/>
              </w:rPr>
              <w:t>with ARWAP implementation</w:t>
            </w:r>
            <w:r w:rsidR="00F30521" w:rsidRPr="00184C24">
              <w:rPr>
                <w:rFonts w:ascii="Rawline" w:hAnsi="Rawline" w:cs="Arial"/>
                <w:b/>
                <w:bCs/>
              </w:rPr>
              <w:t xml:space="preserve"> via our Anti-racism Manager</w:t>
            </w:r>
            <w:r w:rsidR="009C51B8" w:rsidRPr="00184C24">
              <w:rPr>
                <w:rFonts w:ascii="Rawline" w:hAnsi="Rawline" w:cs="Arial"/>
                <w:b/>
                <w:bCs/>
              </w:rPr>
              <w:t>, Simon Lu</w:t>
            </w:r>
            <w:r w:rsidR="00F30521" w:rsidRPr="00184C24">
              <w:rPr>
                <w:rFonts w:ascii="Rawline" w:hAnsi="Rawline" w:cs="Arial"/>
                <w:b/>
                <w:bCs/>
              </w:rPr>
              <w:t xml:space="preserve">. </w:t>
            </w:r>
            <w:r w:rsidR="00D32CA3" w:rsidRPr="00184C24">
              <w:rPr>
                <w:rFonts w:ascii="Rawline" w:hAnsi="Rawline" w:cs="Arial"/>
                <w:b/>
                <w:bCs/>
              </w:rPr>
              <w:t xml:space="preserve"> Below is a quick summary of what is available</w:t>
            </w:r>
          </w:p>
          <w:p w14:paraId="31B28B1B" w14:textId="77777777" w:rsidR="00D867CB" w:rsidRPr="00184C24" w:rsidRDefault="00D867CB" w:rsidP="00F37641">
            <w:pPr>
              <w:rPr>
                <w:rFonts w:ascii="Rawline" w:hAnsi="Rawline" w:cs="Arial"/>
                <w:b/>
                <w:bCs/>
              </w:rPr>
            </w:pPr>
          </w:p>
          <w:p w14:paraId="0A0C5F1D" w14:textId="2B17DE6A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b/>
                <w:bCs/>
              </w:rPr>
              <w:t>121 housing advice to organisations</w:t>
            </w:r>
            <w:r w:rsidRPr="00184C24">
              <w:rPr>
                <w:rFonts w:ascii="Rawline" w:hAnsi="Rawline" w:cs="Arial"/>
              </w:rPr>
              <w:t xml:space="preserve"> on ARWAP implementation (via meetings, team presentations</w:t>
            </w:r>
            <w:r w:rsidR="00FE7FE6" w:rsidRPr="00184C24">
              <w:rPr>
                <w:rFonts w:ascii="Rawline" w:hAnsi="Rawline" w:cs="Arial"/>
              </w:rPr>
              <w:t>, feedback on race specific plans and strategies</w:t>
            </w:r>
            <w:r w:rsidRPr="00184C24">
              <w:rPr>
                <w:rFonts w:ascii="Rawline" w:hAnsi="Rawline" w:cs="Arial"/>
              </w:rPr>
              <w:t xml:space="preserve"> etc). (We do not have expertise in GRT issues however. )</w:t>
            </w:r>
          </w:p>
          <w:p w14:paraId="73D08C9C" w14:textId="77777777" w:rsidR="0008099E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Info sharing: Housing specific </w:t>
            </w:r>
            <w:r w:rsidRPr="00184C24">
              <w:rPr>
                <w:rFonts w:ascii="Rawline" w:hAnsi="Rawline" w:cs="Arial"/>
                <w:b/>
                <w:bCs/>
              </w:rPr>
              <w:t>anti-racism newsletter</w:t>
            </w:r>
            <w:r w:rsidRPr="00184C24">
              <w:rPr>
                <w:rFonts w:ascii="Rawline" w:hAnsi="Rawline" w:cs="Arial"/>
              </w:rPr>
              <w:t xml:space="preserve"> </w:t>
            </w:r>
          </w:p>
          <w:p w14:paraId="17A993F5" w14:textId="4D4633DE" w:rsidR="00D867CB" w:rsidRPr="00184C24" w:rsidRDefault="0008099E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b/>
                <w:bCs/>
              </w:rPr>
              <w:t>Events and networking meetings</w:t>
            </w:r>
            <w:r w:rsidR="00D867CB" w:rsidRPr="00184C24">
              <w:rPr>
                <w:rFonts w:ascii="Rawline" w:hAnsi="Rawline" w:cs="Arial"/>
              </w:rPr>
              <w:t xml:space="preserve"> (quarterly </w:t>
            </w:r>
            <w:hyperlink r:id="rId19" w:history="1">
              <w:r w:rsidR="00D867CB" w:rsidRPr="00184C24">
                <w:rPr>
                  <w:rStyle w:val="Hyperlink"/>
                  <w:rFonts w:ascii="Rawline" w:hAnsi="Rawline" w:cs="Arial"/>
                </w:rPr>
                <w:t>meetings of Deeds not Words/ARWAP leaders)</w:t>
              </w:r>
            </w:hyperlink>
            <w:r w:rsidR="00711B9E" w:rsidRPr="00184C24">
              <w:rPr>
                <w:rFonts w:ascii="Rawline" w:hAnsi="Rawline" w:cs="Arial"/>
              </w:rPr>
              <w:t xml:space="preserve">, </w:t>
            </w:r>
            <w:hyperlink r:id="rId20" w:history="1">
              <w:r w:rsidR="002469C2" w:rsidRPr="00184C24">
                <w:rPr>
                  <w:rStyle w:val="Hyperlink"/>
                  <w:rFonts w:ascii="Rawline" w:hAnsi="Rawline" w:cs="Arial"/>
                </w:rPr>
                <w:t xml:space="preserve">Deeds not Words Coffee </w:t>
              </w:r>
              <w:proofErr w:type="spellStart"/>
              <w:r w:rsidR="002469C2" w:rsidRPr="00184C24">
                <w:rPr>
                  <w:rStyle w:val="Hyperlink"/>
                  <w:rFonts w:ascii="Rawline" w:hAnsi="Rawline" w:cs="Arial"/>
                </w:rPr>
                <w:t>Mornings:</w:t>
              </w:r>
              <w:r w:rsidR="00711B9E" w:rsidRPr="00184C24">
                <w:rPr>
                  <w:rStyle w:val="Hyperlink"/>
                  <w:rFonts w:ascii="Rawline" w:hAnsi="Rawline" w:cs="Arial"/>
                  <w:color w:val="auto"/>
                </w:rPr>
                <w:t>peer</w:t>
              </w:r>
              <w:proofErr w:type="spellEnd"/>
            </w:hyperlink>
            <w:r w:rsidR="00711B9E" w:rsidRPr="00184C24">
              <w:rPr>
                <w:rFonts w:ascii="Rawline" w:hAnsi="Rawline" w:cs="Arial"/>
              </w:rPr>
              <w:t xml:space="preserve"> to peer network for ethnic minority housing professionals</w:t>
            </w:r>
            <w:r w:rsidR="001B5AFB" w:rsidRPr="00184C24">
              <w:rPr>
                <w:rFonts w:ascii="Rawline" w:hAnsi="Rawline" w:cs="Arial"/>
              </w:rPr>
              <w:t xml:space="preserve">; </w:t>
            </w:r>
            <w:r w:rsidR="00242D06" w:rsidRPr="00184C24">
              <w:rPr>
                <w:rFonts w:ascii="Rawline" w:hAnsi="Rawline" w:cs="Arial"/>
              </w:rPr>
              <w:t xml:space="preserve">other events and networks are members only </w:t>
            </w:r>
          </w:p>
          <w:p w14:paraId="5F9DEF39" w14:textId="77777777" w:rsidR="00D867CB" w:rsidRPr="00184C24" w:rsidRDefault="000236A8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hyperlink r:id="rId21" w:history="1">
              <w:r w:rsidR="00D867CB" w:rsidRPr="00184C24">
                <w:rPr>
                  <w:rStyle w:val="Hyperlink"/>
                  <w:rFonts w:ascii="Rawline" w:hAnsi="Rawline" w:cs="Arial"/>
                </w:rPr>
                <w:t>Anti-racism toolkit for housing</w:t>
              </w:r>
            </w:hyperlink>
          </w:p>
          <w:p w14:paraId="48EF5A03" w14:textId="43557753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lastRenderedPageBreak/>
              <w:t xml:space="preserve">Housing needs: </w:t>
            </w:r>
            <w:r w:rsidR="00853B98" w:rsidRPr="00184C24">
              <w:rPr>
                <w:rFonts w:ascii="Rawline" w:hAnsi="Rawline" w:cs="Arial"/>
              </w:rPr>
              <w:t xml:space="preserve">preparing </w:t>
            </w:r>
            <w:r w:rsidRPr="00184C24">
              <w:rPr>
                <w:rFonts w:ascii="Rawline" w:hAnsi="Rawline" w:cs="Arial"/>
                <w:b/>
                <w:bCs/>
              </w:rPr>
              <w:t>good practice guides</w:t>
            </w:r>
            <w:r w:rsidRPr="00184C24">
              <w:rPr>
                <w:rFonts w:ascii="Rawline" w:hAnsi="Rawline" w:cs="Arial"/>
              </w:rPr>
              <w:t xml:space="preserve">: meeting housing needs of ethnic minority people &amp; culturally </w:t>
            </w:r>
            <w:r w:rsidR="00987289" w:rsidRPr="00184C24">
              <w:rPr>
                <w:rFonts w:ascii="Rawline" w:hAnsi="Rawline" w:cs="Arial"/>
              </w:rPr>
              <w:t>inclusive</w:t>
            </w:r>
            <w:r w:rsidRPr="00184C24">
              <w:rPr>
                <w:rFonts w:ascii="Rawline" w:hAnsi="Rawline" w:cs="Arial"/>
              </w:rPr>
              <w:t xml:space="preserve"> design</w:t>
            </w:r>
          </w:p>
          <w:p w14:paraId="60AE482E" w14:textId="1D3E9618" w:rsidR="00CF40E3" w:rsidRPr="00184C24" w:rsidRDefault="00CF40E3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  <w:b/>
                <w:bCs/>
              </w:rPr>
              <w:t>Equality Impact Assessment</w:t>
            </w:r>
            <w:r w:rsidRPr="00184C24">
              <w:rPr>
                <w:rFonts w:ascii="Rawline" w:hAnsi="Rawline" w:cs="Arial"/>
              </w:rPr>
              <w:t xml:space="preserve"> Toolkit</w:t>
            </w:r>
            <w:r w:rsidR="00A31009" w:rsidRPr="00184C24">
              <w:rPr>
                <w:rFonts w:ascii="Rawline" w:hAnsi="Rawline" w:cs="Arial"/>
              </w:rPr>
              <w:t xml:space="preserve"> and Template</w:t>
            </w:r>
          </w:p>
          <w:p w14:paraId="215D0C0B" w14:textId="7ADA2E49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>Homelessness: Rapid Rehousing – EDI focused briefing on Rapid Rehousing (including race)</w:t>
            </w:r>
            <w:r w:rsidR="00853B98" w:rsidRPr="00184C24">
              <w:rPr>
                <w:rFonts w:ascii="Rawline" w:hAnsi="Rawline" w:cs="Arial"/>
              </w:rPr>
              <w:t xml:space="preserve"> to be published by TP soon</w:t>
            </w:r>
          </w:p>
          <w:p w14:paraId="09A3CB81" w14:textId="77777777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Hate crime: </w:t>
            </w:r>
            <w:r w:rsidRPr="00184C24">
              <w:rPr>
                <w:rFonts w:ascii="Rawline" w:hAnsi="Rawline" w:cs="Arial"/>
                <w:b/>
                <w:bCs/>
              </w:rPr>
              <w:t xml:space="preserve">review of housing specific </w:t>
            </w:r>
            <w:hyperlink r:id="rId22" w:history="1">
              <w:r w:rsidRPr="00184C24">
                <w:rPr>
                  <w:rStyle w:val="Hyperlink"/>
                  <w:rFonts w:ascii="Rawline" w:hAnsi="Rawline" w:cs="Arial"/>
                </w:rPr>
                <w:t>hate crime toolkit</w:t>
              </w:r>
            </w:hyperlink>
            <w:r w:rsidRPr="00184C24">
              <w:rPr>
                <w:rFonts w:ascii="Rawline" w:hAnsi="Rawline" w:cs="Arial"/>
              </w:rPr>
              <w:t xml:space="preserve"> </w:t>
            </w:r>
          </w:p>
          <w:p w14:paraId="6BC2CE9B" w14:textId="263A8628" w:rsidR="00D867CB" w:rsidRPr="00184C24" w:rsidRDefault="00AE46E2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Helping WG </w:t>
            </w:r>
            <w:r w:rsidR="00595292" w:rsidRPr="00184C24">
              <w:rPr>
                <w:rFonts w:ascii="Rawline" w:hAnsi="Rawline" w:cs="Arial"/>
              </w:rPr>
              <w:t xml:space="preserve">&amp; sector </w:t>
            </w:r>
            <w:r w:rsidRPr="00184C24">
              <w:rPr>
                <w:rFonts w:ascii="Rawline" w:hAnsi="Rawline" w:cs="Arial"/>
              </w:rPr>
              <w:t xml:space="preserve">with </w:t>
            </w:r>
            <w:r w:rsidRPr="00184C24">
              <w:rPr>
                <w:rFonts w:ascii="Rawline" w:hAnsi="Rawline" w:cs="Arial"/>
                <w:b/>
                <w:bCs/>
              </w:rPr>
              <w:t>e</w:t>
            </w:r>
            <w:r w:rsidR="00D867CB" w:rsidRPr="00184C24">
              <w:rPr>
                <w:rFonts w:ascii="Rawline" w:hAnsi="Rawline" w:cs="Arial"/>
                <w:b/>
                <w:bCs/>
              </w:rPr>
              <w:t>vidence:</w:t>
            </w:r>
            <w:r w:rsidR="00D867CB" w:rsidRPr="00184C24">
              <w:rPr>
                <w:rFonts w:ascii="Rawline" w:hAnsi="Rawline" w:cs="Arial"/>
              </w:rPr>
              <w:t xml:space="preserve"> organisation survey; evidence on presence of delivery plans; ethnic minority tenants survey </w:t>
            </w:r>
          </w:p>
          <w:p w14:paraId="2B7CF9BC" w14:textId="77777777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Widening of </w:t>
            </w:r>
            <w:r w:rsidRPr="00184C24">
              <w:rPr>
                <w:rFonts w:ascii="Rawline" w:hAnsi="Rawline" w:cs="Arial"/>
                <w:b/>
                <w:bCs/>
              </w:rPr>
              <w:t>asylum dispersal</w:t>
            </w:r>
            <w:r w:rsidRPr="00184C24">
              <w:rPr>
                <w:rFonts w:ascii="Rawline" w:hAnsi="Rawline" w:cs="Arial"/>
              </w:rPr>
              <w:t>: information and events; training and e-learning; linking housing providers with refugee orgs (partnerships)</w:t>
            </w:r>
          </w:p>
          <w:p w14:paraId="74856AA6" w14:textId="5EF770B9" w:rsidR="00D867CB" w:rsidRPr="00184C24" w:rsidRDefault="00D867CB" w:rsidP="00742B3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Engagement: </w:t>
            </w:r>
            <w:r w:rsidR="00BB23CC" w:rsidRPr="00184C24">
              <w:rPr>
                <w:rFonts w:ascii="Rawline" w:hAnsi="Rawline" w:cs="Arial"/>
              </w:rPr>
              <w:t xml:space="preserve">we </w:t>
            </w:r>
            <w:r w:rsidR="00595292" w:rsidRPr="00184C24">
              <w:rPr>
                <w:rFonts w:ascii="Rawline" w:hAnsi="Rawline" w:cs="Arial"/>
              </w:rPr>
              <w:t xml:space="preserve">will be </w:t>
            </w:r>
            <w:r w:rsidR="00BB23CC" w:rsidRPr="00184C24">
              <w:rPr>
                <w:rFonts w:ascii="Rawline" w:hAnsi="Rawline" w:cs="Arial"/>
              </w:rPr>
              <w:t xml:space="preserve">setting up an </w:t>
            </w:r>
            <w:r w:rsidR="00BB23CC" w:rsidRPr="00184C24">
              <w:rPr>
                <w:rFonts w:ascii="Rawline" w:hAnsi="Rawline" w:cs="Arial"/>
                <w:b/>
                <w:bCs/>
              </w:rPr>
              <w:t>Ethnic Minority Tenants Panel</w:t>
            </w:r>
            <w:r w:rsidR="00D052BE" w:rsidRPr="00184C24">
              <w:rPr>
                <w:rFonts w:ascii="Rawline" w:hAnsi="Rawline" w:cs="Arial"/>
                <w:b/>
                <w:bCs/>
              </w:rPr>
              <w:t xml:space="preserve"> </w:t>
            </w:r>
            <w:r w:rsidR="00D052BE" w:rsidRPr="00184C24">
              <w:rPr>
                <w:rFonts w:ascii="Rawline" w:hAnsi="Rawline" w:cs="Arial"/>
              </w:rPr>
              <w:t>to feed into WG policy and the wider sector</w:t>
            </w:r>
          </w:p>
          <w:p w14:paraId="4ED06529" w14:textId="77777777" w:rsidR="0041070E" w:rsidRPr="00184C24" w:rsidRDefault="0041070E" w:rsidP="0041070E">
            <w:pPr>
              <w:spacing w:line="360" w:lineRule="auto"/>
              <w:rPr>
                <w:rFonts w:ascii="Rawline" w:hAnsi="Rawline" w:cs="Arial"/>
              </w:rPr>
            </w:pPr>
          </w:p>
          <w:p w14:paraId="50A9C89E" w14:textId="6B59E9F3" w:rsidR="0041070E" w:rsidRPr="00184C24" w:rsidRDefault="0041070E" w:rsidP="0041070E">
            <w:p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Get in touch: </w:t>
            </w:r>
            <w:hyperlink r:id="rId23" w:history="1">
              <w:r w:rsidRPr="00184C24">
                <w:rPr>
                  <w:rStyle w:val="Hyperlink"/>
                  <w:rFonts w:ascii="Rawline" w:hAnsi="Rawline" w:cs="Arial"/>
                </w:rPr>
                <w:t>alicja@taipawb.org</w:t>
              </w:r>
            </w:hyperlink>
            <w:r w:rsidRPr="00184C24">
              <w:rPr>
                <w:rFonts w:ascii="Rawline" w:hAnsi="Rawline" w:cs="Arial"/>
              </w:rPr>
              <w:t xml:space="preserve"> </w:t>
            </w:r>
            <w:r w:rsidR="00F30521" w:rsidRPr="00184C24">
              <w:rPr>
                <w:rFonts w:ascii="Rawline" w:hAnsi="Rawline" w:cs="Arial"/>
              </w:rPr>
              <w:t xml:space="preserve">and </w:t>
            </w:r>
            <w:hyperlink r:id="rId24" w:history="1">
              <w:r w:rsidR="00F30521" w:rsidRPr="00184C24">
                <w:rPr>
                  <w:rStyle w:val="Hyperlink"/>
                  <w:rFonts w:ascii="Rawline" w:hAnsi="Rawline" w:cs="Arial"/>
                </w:rPr>
                <w:t>simon@taipawb.org</w:t>
              </w:r>
            </w:hyperlink>
            <w:r w:rsidR="00F30521" w:rsidRPr="00184C24">
              <w:rPr>
                <w:rFonts w:ascii="Rawline" w:hAnsi="Rawline" w:cs="Arial"/>
              </w:rPr>
              <w:t xml:space="preserve"> </w:t>
            </w:r>
          </w:p>
          <w:p w14:paraId="733E71B8" w14:textId="0CFA5D4C" w:rsidR="00D2198E" w:rsidRPr="00184C24" w:rsidRDefault="00D2198E" w:rsidP="0041070E">
            <w:pPr>
              <w:spacing w:line="360" w:lineRule="auto"/>
              <w:rPr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Subscribe to our mailing list to receive up to date information: </w:t>
            </w:r>
            <w:hyperlink r:id="rId25" w:anchor=":~:text=Sign%20up%20to%20the%20Tai,Tai%20Pawb's%20work%20and%20updates." w:history="1">
              <w:r w:rsidRPr="00184C24">
                <w:rPr>
                  <w:rStyle w:val="Hyperlink"/>
                  <w:rFonts w:ascii="Rawline" w:hAnsi="Rawline" w:cs="Arial"/>
                </w:rPr>
                <w:t>Mailing List - Tai Pawb</w:t>
              </w:r>
            </w:hyperlink>
          </w:p>
          <w:p w14:paraId="7DD9E575" w14:textId="1E681F0E" w:rsidR="00A704C2" w:rsidRPr="00184C24" w:rsidRDefault="00A704C2" w:rsidP="0041070E">
            <w:pPr>
              <w:spacing w:line="360" w:lineRule="auto"/>
              <w:rPr>
                <w:rStyle w:val="Hyperlink"/>
                <w:rFonts w:ascii="Rawline" w:hAnsi="Rawline" w:cs="Arial"/>
              </w:rPr>
            </w:pPr>
            <w:r w:rsidRPr="00184C24">
              <w:rPr>
                <w:rFonts w:ascii="Rawline" w:hAnsi="Rawline" w:cs="Arial"/>
              </w:rPr>
              <w:t xml:space="preserve">Tai Pawb events: </w:t>
            </w:r>
            <w:hyperlink r:id="rId26" w:history="1">
              <w:r w:rsidR="00E60875" w:rsidRPr="00184C24">
                <w:rPr>
                  <w:rStyle w:val="Hyperlink"/>
                  <w:rFonts w:ascii="Rawline" w:hAnsi="Rawline" w:cs="Arial"/>
                </w:rPr>
                <w:t>Events &amp; Networks - Tai Pawb</w:t>
              </w:r>
            </w:hyperlink>
          </w:p>
          <w:p w14:paraId="3D595BD7" w14:textId="2E91B85F" w:rsidR="00D867CB" w:rsidRPr="00184C24" w:rsidRDefault="009D453A" w:rsidP="00A962EE">
            <w:pPr>
              <w:spacing w:line="360" w:lineRule="auto"/>
              <w:rPr>
                <w:rFonts w:ascii="Rawline" w:hAnsi="Rawline" w:cs="Arial"/>
                <w:b/>
                <w:bCs/>
              </w:rPr>
            </w:pPr>
            <w:r w:rsidRPr="00184C24">
              <w:rPr>
                <w:rFonts w:ascii="Rawline" w:hAnsi="Rawline" w:cs="Arial"/>
              </w:rPr>
              <w:t xml:space="preserve">Anti-racism mailer (previous copies): </w:t>
            </w:r>
            <w:hyperlink r:id="rId27" w:history="1">
              <w:r w:rsidR="00EB5867" w:rsidRPr="00184C24">
                <w:rPr>
                  <w:rStyle w:val="Hyperlink"/>
                  <w:rFonts w:ascii="Rawline" w:hAnsi="Rawline"/>
                </w:rPr>
                <w:t>Anti Racism Newsletter - July 2023</w:t>
              </w:r>
            </w:hyperlink>
            <w:r w:rsidRPr="00184C24">
              <w:rPr>
                <w:rFonts w:ascii="Rawline" w:hAnsi="Rawline"/>
              </w:rPr>
              <w:t xml:space="preserve">, </w:t>
            </w:r>
            <w:hyperlink r:id="rId28" w:history="1">
              <w:r w:rsidR="007D5687" w:rsidRPr="00184C24">
                <w:rPr>
                  <w:rStyle w:val="Hyperlink"/>
                  <w:rFonts w:ascii="Rawline" w:hAnsi="Rawline"/>
                </w:rPr>
                <w:t>Anti Racism Newsletter - May 2023</w:t>
              </w:r>
            </w:hyperlink>
          </w:p>
        </w:tc>
      </w:tr>
    </w:tbl>
    <w:p w14:paraId="4EBEC4CD" w14:textId="1B39A69F" w:rsidR="006572A9" w:rsidRPr="00184C24" w:rsidRDefault="006572A9" w:rsidP="00DC604E">
      <w:pPr>
        <w:rPr>
          <w:rFonts w:ascii="Rawline" w:hAnsi="Rawline" w:cs="Arial"/>
          <w:color w:val="002060"/>
          <w:sz w:val="34"/>
          <w:szCs w:val="34"/>
        </w:rPr>
      </w:pPr>
    </w:p>
    <w:sectPr w:rsidR="006572A9" w:rsidRPr="00184C24" w:rsidSect="00F773B7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B74"/>
    <w:multiLevelType w:val="hybridMultilevel"/>
    <w:tmpl w:val="53766E24"/>
    <w:lvl w:ilvl="0" w:tplc="F26EF71A">
      <w:start w:val="1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7A9"/>
    <w:multiLevelType w:val="hybridMultilevel"/>
    <w:tmpl w:val="E2F0C16A"/>
    <w:lvl w:ilvl="0" w:tplc="7DEAF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AF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9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E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4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4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E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7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710FC9"/>
    <w:multiLevelType w:val="hybridMultilevel"/>
    <w:tmpl w:val="36F8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568">
    <w:abstractNumId w:val="1"/>
  </w:num>
  <w:num w:numId="2" w16cid:durableId="1749881579">
    <w:abstractNumId w:val="0"/>
  </w:num>
  <w:num w:numId="3" w16cid:durableId="108757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6"/>
    <w:rsid w:val="00005B4B"/>
    <w:rsid w:val="00010FA7"/>
    <w:rsid w:val="00022C70"/>
    <w:rsid w:val="000236A8"/>
    <w:rsid w:val="00033F70"/>
    <w:rsid w:val="00034A37"/>
    <w:rsid w:val="0008099E"/>
    <w:rsid w:val="0008712D"/>
    <w:rsid w:val="000F3204"/>
    <w:rsid w:val="00106BD3"/>
    <w:rsid w:val="00125F38"/>
    <w:rsid w:val="00142584"/>
    <w:rsid w:val="00167918"/>
    <w:rsid w:val="00170B9A"/>
    <w:rsid w:val="00184C24"/>
    <w:rsid w:val="001B5AFB"/>
    <w:rsid w:val="001B7F46"/>
    <w:rsid w:val="001C6DE8"/>
    <w:rsid w:val="001D2506"/>
    <w:rsid w:val="00231679"/>
    <w:rsid w:val="00242D06"/>
    <w:rsid w:val="00244FA9"/>
    <w:rsid w:val="00245CE9"/>
    <w:rsid w:val="002469C2"/>
    <w:rsid w:val="00246DCF"/>
    <w:rsid w:val="00256028"/>
    <w:rsid w:val="002873B9"/>
    <w:rsid w:val="002D07FD"/>
    <w:rsid w:val="002F6C66"/>
    <w:rsid w:val="00343CD1"/>
    <w:rsid w:val="003612DC"/>
    <w:rsid w:val="003A182A"/>
    <w:rsid w:val="003C51B4"/>
    <w:rsid w:val="003D3C12"/>
    <w:rsid w:val="003E6E63"/>
    <w:rsid w:val="0041070E"/>
    <w:rsid w:val="004166DE"/>
    <w:rsid w:val="00444609"/>
    <w:rsid w:val="00454322"/>
    <w:rsid w:val="00467F27"/>
    <w:rsid w:val="00471BD1"/>
    <w:rsid w:val="00485C88"/>
    <w:rsid w:val="004D7424"/>
    <w:rsid w:val="005535F4"/>
    <w:rsid w:val="00572AC2"/>
    <w:rsid w:val="005949B9"/>
    <w:rsid w:val="00595292"/>
    <w:rsid w:val="005D4EA5"/>
    <w:rsid w:val="005E1652"/>
    <w:rsid w:val="006572A9"/>
    <w:rsid w:val="006A1606"/>
    <w:rsid w:val="006C1655"/>
    <w:rsid w:val="006C26BF"/>
    <w:rsid w:val="00711B9E"/>
    <w:rsid w:val="0071222D"/>
    <w:rsid w:val="00720E30"/>
    <w:rsid w:val="00742B35"/>
    <w:rsid w:val="00773731"/>
    <w:rsid w:val="007939D9"/>
    <w:rsid w:val="007A122D"/>
    <w:rsid w:val="007C260D"/>
    <w:rsid w:val="007D5687"/>
    <w:rsid w:val="007E38C5"/>
    <w:rsid w:val="00830D76"/>
    <w:rsid w:val="008338B9"/>
    <w:rsid w:val="00841AA6"/>
    <w:rsid w:val="00853B98"/>
    <w:rsid w:val="008F1DEA"/>
    <w:rsid w:val="00922D38"/>
    <w:rsid w:val="00942BBD"/>
    <w:rsid w:val="00957002"/>
    <w:rsid w:val="00967FC7"/>
    <w:rsid w:val="0098077D"/>
    <w:rsid w:val="00987289"/>
    <w:rsid w:val="00994E35"/>
    <w:rsid w:val="009A4CFA"/>
    <w:rsid w:val="009C466B"/>
    <w:rsid w:val="009C51B8"/>
    <w:rsid w:val="009D453A"/>
    <w:rsid w:val="009D567A"/>
    <w:rsid w:val="00A0143E"/>
    <w:rsid w:val="00A06559"/>
    <w:rsid w:val="00A31009"/>
    <w:rsid w:val="00A66714"/>
    <w:rsid w:val="00A704C2"/>
    <w:rsid w:val="00A962EE"/>
    <w:rsid w:val="00AE46E2"/>
    <w:rsid w:val="00AE6FA8"/>
    <w:rsid w:val="00AF0DD5"/>
    <w:rsid w:val="00B34E13"/>
    <w:rsid w:val="00B420F9"/>
    <w:rsid w:val="00B8012C"/>
    <w:rsid w:val="00BB23CC"/>
    <w:rsid w:val="00BC5CF3"/>
    <w:rsid w:val="00C1568A"/>
    <w:rsid w:val="00C32F11"/>
    <w:rsid w:val="00C34141"/>
    <w:rsid w:val="00C369A6"/>
    <w:rsid w:val="00C840E2"/>
    <w:rsid w:val="00CA4B50"/>
    <w:rsid w:val="00CB0779"/>
    <w:rsid w:val="00CB71BC"/>
    <w:rsid w:val="00CF40E3"/>
    <w:rsid w:val="00D03D4C"/>
    <w:rsid w:val="00D052BE"/>
    <w:rsid w:val="00D17AF4"/>
    <w:rsid w:val="00D2198E"/>
    <w:rsid w:val="00D32CA3"/>
    <w:rsid w:val="00D54CD2"/>
    <w:rsid w:val="00D76FBA"/>
    <w:rsid w:val="00D867CB"/>
    <w:rsid w:val="00D934B1"/>
    <w:rsid w:val="00DC08B2"/>
    <w:rsid w:val="00DC604E"/>
    <w:rsid w:val="00DD0EC2"/>
    <w:rsid w:val="00DD6533"/>
    <w:rsid w:val="00E459B4"/>
    <w:rsid w:val="00E60875"/>
    <w:rsid w:val="00EA0DBC"/>
    <w:rsid w:val="00EB5867"/>
    <w:rsid w:val="00EB6F13"/>
    <w:rsid w:val="00F1136C"/>
    <w:rsid w:val="00F13358"/>
    <w:rsid w:val="00F20EF3"/>
    <w:rsid w:val="00F30521"/>
    <w:rsid w:val="00F732C2"/>
    <w:rsid w:val="00F773B7"/>
    <w:rsid w:val="00F85329"/>
    <w:rsid w:val="00FC6650"/>
    <w:rsid w:val="00FC7D7B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61F3"/>
  <w15:chartTrackingRefBased/>
  <w15:docId w15:val="{F500D2D6-448C-4762-BC33-4FD4155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@taipawb.org" TargetMode="External"/><Relationship Id="rId13" Type="http://schemas.openxmlformats.org/officeDocument/2006/relationships/hyperlink" Target="https://www.taipawb.org/anti-racism-for-board-senior-management-governance/" TargetMode="External"/><Relationship Id="rId18" Type="http://schemas.openxmlformats.org/officeDocument/2006/relationships/hyperlink" Target="https://www.taipawb.org/anti-racism/gypsies-travellers/" TargetMode="External"/><Relationship Id="rId26" Type="http://schemas.openxmlformats.org/officeDocument/2006/relationships/hyperlink" Target="https://www.taipawb.org/events-network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aipawb.org/anti-racis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aipawb.org/training/anti-racism-training/" TargetMode="External"/><Relationship Id="rId17" Type="http://schemas.openxmlformats.org/officeDocument/2006/relationships/hyperlink" Target="https://www.taipawb.org/anti-racism/engaging-ethnically-diverse-communities/" TargetMode="External"/><Relationship Id="rId25" Type="http://schemas.openxmlformats.org/officeDocument/2006/relationships/hyperlink" Target="https://www.taipawb.org/about/mailing-li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ipawb.org/anti-racism/culturally-inclusive-housing-design/" TargetMode="External"/><Relationship Id="rId20" Type="http://schemas.openxmlformats.org/officeDocument/2006/relationships/hyperlink" Target="https://www.taipawb.org/civicrm/?page=CiviCRM&amp;q=civicrm/event/info&amp;id=324&amp;reset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ipawb.org/action-plans/" TargetMode="External"/><Relationship Id="rId24" Type="http://schemas.openxmlformats.org/officeDocument/2006/relationships/hyperlink" Target="mailto:simon@taipawb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ipawb.org/anti-racism/engaging-with-diverse-communities/" TargetMode="External"/><Relationship Id="rId23" Type="http://schemas.openxmlformats.org/officeDocument/2006/relationships/hyperlink" Target="mailto:alicja@taipawb.org" TargetMode="External"/><Relationship Id="rId28" Type="http://schemas.openxmlformats.org/officeDocument/2006/relationships/hyperlink" Target="https://mailchi.mp/40081a00dc38/whqsreminder-8752292" TargetMode="External"/><Relationship Id="rId10" Type="http://schemas.openxmlformats.org/officeDocument/2006/relationships/hyperlink" Target="https://www.taipawb.org/anti-racism/recruitment-diversity/" TargetMode="External"/><Relationship Id="rId19" Type="http://schemas.openxmlformats.org/officeDocument/2006/relationships/hyperlink" Target="https://www.taipawb.org/civicrm/?page=CiviCRM&amp;q=civicrm/event/info&amp;id=327&amp;reset=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icja@taipawb.org" TargetMode="External"/><Relationship Id="rId14" Type="http://schemas.openxmlformats.org/officeDocument/2006/relationships/hyperlink" Target="https://www.gov.wales/sites/default/files/publications/2019-05/guidance-on-hate-crime-and-housing.pdf" TargetMode="External"/><Relationship Id="rId22" Type="http://schemas.openxmlformats.org/officeDocument/2006/relationships/hyperlink" Target="https://www.gov.wales/sites/default/files/publications/2019-05/guidance-on-hate-crime-and-housing.pdf" TargetMode="External"/><Relationship Id="rId27" Type="http://schemas.openxmlformats.org/officeDocument/2006/relationships/hyperlink" Target="https://mailchi.mp/1b22d1c89d41/whqsreminder-876103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  <SharedWithUsers xmlns="98342534-cc44-4ac7-aa88-23f08d28a6ed">
      <UserInfo>
        <DisplayName>Lynsey Davies</DisplayName>
        <AccountId>51</AccountId>
        <AccountType/>
      </UserInfo>
      <UserInfo>
        <DisplayName>Vicki Foley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3" ma:contentTypeDescription="Create a new document." ma:contentTypeScope="" ma:versionID="bdaae02183c17444a77a9b47d4b65d39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32be806753e93a2c057d03a4bba1973d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565b6c-c89f-452a-9945-b1adc54af20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FB8EB-A746-4B82-8AD9-8D143BCE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4AACA-6172-4301-88A0-65B4AEE20EA3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3.xml><?xml version="1.0" encoding="utf-8"?>
<ds:datastoreItem xmlns:ds="http://schemas.openxmlformats.org/officeDocument/2006/customXml" ds:itemID="{1CE63F3B-531D-4CC9-9414-5E0CACB8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Zalesinska</dc:creator>
  <cp:keywords/>
  <dc:description/>
  <cp:lastModifiedBy>Alicja Zalesinska</cp:lastModifiedBy>
  <cp:revision>126</cp:revision>
  <dcterms:created xsi:type="dcterms:W3CDTF">2023-09-07T10:22:00Z</dcterms:created>
  <dcterms:modified xsi:type="dcterms:W3CDTF">2023-10-23T09:05:00Z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